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D2A" w:rsidRDefault="005B6D2A" w:rsidP="005B6D2A"/>
    <w:p w:rsidR="005B6D2A" w:rsidRDefault="005B6D2A" w:rsidP="005B6D2A">
      <w:r>
        <w:t>REPUBBLICA ITALIANA</w:t>
      </w:r>
    </w:p>
    <w:p w:rsidR="005B6D2A" w:rsidRDefault="005B6D2A" w:rsidP="005B6D2A"/>
    <w:p w:rsidR="005B6D2A" w:rsidRDefault="005B6D2A" w:rsidP="005B6D2A"/>
    <w:p w:rsidR="005B6D2A" w:rsidRDefault="005B6D2A" w:rsidP="005B6D2A">
      <w:r>
        <w:t>IN NOME DEL POPOLO ITALIANO</w:t>
      </w:r>
    </w:p>
    <w:p w:rsidR="005B6D2A" w:rsidRDefault="005B6D2A" w:rsidP="005B6D2A"/>
    <w:p w:rsidR="005B6D2A" w:rsidRDefault="005B6D2A" w:rsidP="005B6D2A">
      <w:r>
        <w:t>Il Tribunale Amministrativo Regionale per il Friuli Venezia Giulia</w:t>
      </w:r>
    </w:p>
    <w:p w:rsidR="005B6D2A" w:rsidRDefault="005B6D2A" w:rsidP="005B6D2A"/>
    <w:p w:rsidR="005B6D2A" w:rsidRDefault="005B6D2A" w:rsidP="005B6D2A">
      <w:r>
        <w:t>(Sezione Prima)</w:t>
      </w:r>
    </w:p>
    <w:p w:rsidR="005B6D2A" w:rsidRDefault="005B6D2A" w:rsidP="005B6D2A"/>
    <w:p w:rsidR="005B6D2A" w:rsidRDefault="005B6D2A" w:rsidP="005B6D2A">
      <w:r>
        <w:t>ha pronunciato la presente</w:t>
      </w:r>
    </w:p>
    <w:p w:rsidR="005B6D2A" w:rsidRDefault="005B6D2A" w:rsidP="005B6D2A">
      <w:r>
        <w:t>SENTENZA</w:t>
      </w:r>
    </w:p>
    <w:p w:rsidR="005B6D2A" w:rsidRDefault="005B6D2A" w:rsidP="005B6D2A"/>
    <w:p w:rsidR="005B6D2A" w:rsidRDefault="005B6D2A" w:rsidP="005B6D2A">
      <w:r>
        <w:t>ex articolo 60 Cod. proc. amm.;</w:t>
      </w:r>
    </w:p>
    <w:p w:rsidR="005B6D2A" w:rsidRDefault="005B6D2A" w:rsidP="005B6D2A">
      <w:r>
        <w:t xml:space="preserve">sul ricorso numero di registro generale 233 del 2015, proposto da: </w:t>
      </w:r>
    </w:p>
    <w:p w:rsidR="005B6D2A" w:rsidRDefault="005B6D2A" w:rsidP="005B6D2A">
      <w:r>
        <w:t xml:space="preserve">LAC - Lega per l'Abolizione della Caccia, rappresentata e difesa dall'avv. Alessandro Sperotto, con domicilio eletto presso la Segreteria Generale del T.A.R. in Trieste, piazza Unità d'Italia n. 7; </w:t>
      </w:r>
    </w:p>
    <w:p w:rsidR="005B6D2A" w:rsidRDefault="005B6D2A" w:rsidP="005B6D2A">
      <w:r>
        <w:t>contro</w:t>
      </w:r>
    </w:p>
    <w:p w:rsidR="005B6D2A" w:rsidRDefault="005B6D2A" w:rsidP="005B6D2A">
      <w:r>
        <w:t xml:space="preserve">Regione Friuli Venezia Giulia, rappresentato e difeso dall’avv. Daniela Iuri, domiciliata presso gli uffici dell’Avvocatura regionale, in Trieste, piazza Unità d'Italia n. 1; </w:t>
      </w:r>
    </w:p>
    <w:p w:rsidR="005B6D2A" w:rsidRDefault="005B6D2A" w:rsidP="005B6D2A">
      <w:r>
        <w:t>nei confronti di</w:t>
      </w:r>
    </w:p>
    <w:p w:rsidR="005B6D2A" w:rsidRDefault="005B6D2A" w:rsidP="005B6D2A">
      <w:r>
        <w:t xml:space="preserve">Riserva di Caccia di Diritto di Monrupino, non costituita in giudizio; </w:t>
      </w:r>
    </w:p>
    <w:p w:rsidR="005B6D2A" w:rsidRDefault="005B6D2A" w:rsidP="005B6D2A">
      <w:r>
        <w:t>e con l'intervento di</w:t>
      </w:r>
    </w:p>
    <w:p w:rsidR="005B6D2A" w:rsidRDefault="005B6D2A" w:rsidP="005B6D2A">
      <w:r>
        <w:t>ad opponendum:</w:t>
      </w:r>
    </w:p>
    <w:p w:rsidR="005B6D2A" w:rsidRDefault="005B6D2A" w:rsidP="005B6D2A">
      <w:r>
        <w:t xml:space="preserve">Confagricoltura Friuli Venezia Giulia, Ente Tutela Fauna del Friuli Venezia Giulia, entrambi rappresentati e difesi dall'avv. Atos Bergamasco, con domicilio eletto presso la Segreteria Generale del T.A.R., in Trieste, piazza Unità d'Italia n. 7; </w:t>
      </w:r>
    </w:p>
    <w:p w:rsidR="005B6D2A" w:rsidRDefault="005B6D2A" w:rsidP="005B6D2A">
      <w:r>
        <w:t xml:space="preserve">Federazione Italiana della Caccia, rappresentata e difesa dagli avv.ti Innocenzo Gorlani, Mario Gorlani e Paolo Viezzi, con domicilio eletto presso lo studio dell’avv. Davor Blaskovich, in Trieste, Via del Coroneo n. 31/2; </w:t>
      </w:r>
    </w:p>
    <w:p w:rsidR="005B6D2A" w:rsidRDefault="005B6D2A" w:rsidP="005B6D2A">
      <w:r>
        <w:lastRenderedPageBreak/>
        <w:t>per l'annullamento, previa sospensione cautelare</w:t>
      </w:r>
    </w:p>
    <w:p w:rsidR="005B6D2A" w:rsidRDefault="005B6D2A" w:rsidP="005B6D2A">
      <w:r>
        <w:t>della Deliberazione della Giunta regionale del Friuli Venezia Giulia di data 20 marzo 2015 n. 478 - Atto di indirizzo per la gestione faunistico-venatoria. Proroga per l'annata venatoria 2015-2016;</w:t>
      </w:r>
    </w:p>
    <w:p w:rsidR="005B6D2A" w:rsidRDefault="005B6D2A" w:rsidP="005B6D2A"/>
    <w:p w:rsidR="005B6D2A" w:rsidRDefault="005B6D2A" w:rsidP="005B6D2A">
      <w:r>
        <w:t>Visti il ricorso e i relativi allegati;</w:t>
      </w:r>
    </w:p>
    <w:p w:rsidR="005B6D2A" w:rsidRDefault="005B6D2A" w:rsidP="005B6D2A">
      <w:r>
        <w:t>Visto l'atto di costituzione in giudizio della Regione Friuli Venezia Giulia;</w:t>
      </w:r>
    </w:p>
    <w:p w:rsidR="005B6D2A" w:rsidRDefault="005B6D2A" w:rsidP="005B6D2A">
      <w:r>
        <w:t>Visti gli atti di intervento di Confagricoltura Friuli Venezia Giulia, dell’Ente Tutela Fauna del Friuli Venezia Giulia e della Federazione Italiana della Caccia;</w:t>
      </w:r>
    </w:p>
    <w:p w:rsidR="005B6D2A" w:rsidRDefault="005B6D2A" w:rsidP="005B6D2A">
      <w:r>
        <w:t>Visti tutti gli atti della causa;</w:t>
      </w:r>
    </w:p>
    <w:p w:rsidR="005B6D2A" w:rsidRDefault="005B6D2A" w:rsidP="005B6D2A">
      <w:r>
        <w:t>Relatore nella camera di consiglio del giorno 8 luglio 2015 la dott.ssa Alessandra Tagliasacchi e uditi per le parti i difensori come specificato nel verbale;</w:t>
      </w:r>
    </w:p>
    <w:p w:rsidR="005B6D2A" w:rsidRDefault="005B6D2A" w:rsidP="005B6D2A">
      <w:r>
        <w:t>Sentite le stesse parti ai sensi dell'articolo 60 Cod. proc. amm.;</w:t>
      </w:r>
    </w:p>
    <w:p w:rsidR="005B6D2A" w:rsidRDefault="005B6D2A" w:rsidP="005B6D2A">
      <w:r>
        <w:t>Ritenuto e considerato in fatto e diritto quanto segue.</w:t>
      </w:r>
    </w:p>
    <w:p w:rsidR="005B6D2A" w:rsidRDefault="005B6D2A" w:rsidP="005B6D2A"/>
    <w:p w:rsidR="005B6D2A" w:rsidRDefault="005B6D2A" w:rsidP="005B6D2A">
      <w:r>
        <w:t>FATTO e DIRITTO</w:t>
      </w:r>
    </w:p>
    <w:p w:rsidR="005B6D2A" w:rsidRDefault="005B6D2A" w:rsidP="005B6D2A">
      <w:r>
        <w:t>1. La LAC - Lega per l’abolizione della caccia, quale associazione ambientalista riconosciuta dal Ministero dell’Ambiente ex L. n. 349/1986, impugna la deliberazione della Giunta regionale del Friuli Venezia Giulia in epigrafe indicata di proroga per l’annata venatoria 2001-2016 degli atti di indirizzo a suo tempo adottati per l’annata 2012-2013, chiedendone l’annullamento previa sospensione cautelare dell’efficacia.</w:t>
      </w:r>
    </w:p>
    <w:p w:rsidR="005B6D2A" w:rsidRDefault="005B6D2A" w:rsidP="005B6D2A">
      <w:r>
        <w:t>2.1. Espone a tale fine che l’atto impugnato è stato adottato perché la Regione non ha ancora approvato il Piano Faunistico Regionale (PFR), nonostante la L.R. F.V.G. n. 6/2008 imponga un preciso obbligo e stringenti termini in tal senso. Viceversa, l’Amministrazione qui resistente, anziché procedere alla tempestiva approvazione del suddetto Piano, si è limitata a fornire i suddetti indirizzi generali, determinando una sistematica elusione dell’obbligo di derivazione comunitaria di sottoporre preventivamente a VAS e a Valutazione di incidenza la disciplina che regola il prelievo venatorio.</w:t>
      </w:r>
    </w:p>
    <w:p w:rsidR="005B6D2A" w:rsidRDefault="005B6D2A" w:rsidP="005B6D2A">
      <w:r>
        <w:t>2.2. Conseguentemente, l’ambito regionale ad oggi risulterebbe privo di prescrizioni di tutela sostanziale della fauna selvatica e dell’ambiente, in spregio a precisi obblighi di fonte nazionale e internazionali. Di qui la richiesta di caducazione dell’atto impugnato che continuerebbe a perpetrare una situazione di illegittimità, per i motivi di cui di seguito è riportata la rubrica.</w:t>
      </w:r>
    </w:p>
    <w:p w:rsidR="005B6D2A" w:rsidRDefault="005B6D2A" w:rsidP="005B6D2A">
      <w:r>
        <w:t>2.3.1. “Illegittimità degli atti per violazione e/o falsa applicazione degli articoli 3 e 21 octies L. n. 241/1990 sotto il profilo del difetto di motivazione e/o motivazione insufficiente. Eccesso di potere per falso ed erroneo presupposto di legge, per carenza di motivazione e carenza assoluta di istruttoria anche sotto il profilo della mancata motivazione in ordine alla necessità ed urgenza. Eccesso di potere”.</w:t>
      </w:r>
    </w:p>
    <w:p w:rsidR="005B6D2A" w:rsidRDefault="005B6D2A" w:rsidP="005B6D2A">
      <w:r>
        <w:t>2.3.2. “Illegittimità degli atti e/o falsa applicazione di legge con riferimento all’articolo 3, comma 1, lettere a) e f), e all’articolo 8 L.R. n. 6/2008 (eccesso di potere)”.</w:t>
      </w:r>
    </w:p>
    <w:p w:rsidR="005B6D2A" w:rsidRDefault="005B6D2A" w:rsidP="005B6D2A">
      <w:r>
        <w:lastRenderedPageBreak/>
        <w:t>2.3.3. “Illegittimità degli atti e/o falsa applicazione di legge nella parte in cui è omessa qualsiasi valutazione preventiva dell’impatto che le pratiche connesse all’esercizio venatorio possono avere sugli habitat e sulle specie di interesse comunitario D.P.R. n. 357/1997 e Direttiva 79/409/CEE ora 2009/147/CE e 92/43/CEE. Violazione di legge, difetto di istruttoria, carenza di motivazione, eccesso di potere”.</w:t>
      </w:r>
    </w:p>
    <w:p w:rsidR="005B6D2A" w:rsidRDefault="005B6D2A" w:rsidP="005B6D2A">
      <w:r>
        <w:t>2.3.4. “Illegittimità degli atti per violazione e/o falsa applicazione di legge con riferimento agli articoli 10, 14, 15 e 36 L. n. 157/1992”.</w:t>
      </w:r>
    </w:p>
    <w:p w:rsidR="005B6D2A" w:rsidRDefault="005B6D2A" w:rsidP="005B6D2A">
      <w:r>
        <w:t>2.3.5. “Illegittimità dell’atto sotto il profilo dell’eccesso di potere per sviamento”.</w:t>
      </w:r>
    </w:p>
    <w:p w:rsidR="005B6D2A" w:rsidRDefault="005B6D2A" w:rsidP="005B6D2A">
      <w:r>
        <w:t>3.1. Si è costituita in giudizio la Regione, chiedendo il rigetto del ricorso introduttivo del presente giudizio, perché inammissibile e infondato.</w:t>
      </w:r>
    </w:p>
    <w:p w:rsidR="005B6D2A" w:rsidRDefault="005B6D2A" w:rsidP="005B6D2A">
      <w:r>
        <w:t>3.2. Il ragionamento dell’Amministrazione resistente muove da un’ampia ricostruzione del quadro normativo di riferimento e da una esaustiva descrizione dell’iter di approvazione del PFR, nella quale è dato conto delle ragioni della sua durata.</w:t>
      </w:r>
    </w:p>
    <w:p w:rsidR="005B6D2A" w:rsidRDefault="005B6D2A" w:rsidP="005B6D2A">
      <w:r>
        <w:t>3.3. Segue l’eccezione di inammissibilità del gravame avversario per mancata impugnazione dell’atto presupposto, ovverosia gli indirizzi generali la cui efficacia è prorogata per l’annata venatoria in corso con l’atto qui in esame.</w:t>
      </w:r>
    </w:p>
    <w:p w:rsidR="005B6D2A" w:rsidRDefault="005B6D2A" w:rsidP="005B6D2A">
      <w:r>
        <w:t>3.4. Nel merito la difesa regionale contesta le tesi dell’associazione ricorrente, sostenendo che in assenza di PFR l’atto di indirizzo costituisce, ai sensi dell’articolo 3, comma 1, lettere a) e f) L.R. F.V.G. n. 6/2008, lo strumento alternativo di regolazione dell’attività venatoria nel rispetto dei principi di tutela e sostenibilità.</w:t>
      </w:r>
    </w:p>
    <w:p w:rsidR="005B6D2A" w:rsidRDefault="005B6D2A" w:rsidP="005B6D2A">
      <w:r>
        <w:t>3.5. Infine, con riguardo alla domanda cautelare, la Regione - in punto di periculum in mora -rappresenta che la sospensione del provvedimento gravato determinerebbe l’incremento di specie animale, quale quella del cinghiale, particolarmente nocive per le colture e la circolazione stradale, oltre la alterazione dell’attuale equilibrio ambientale.</w:t>
      </w:r>
    </w:p>
    <w:p w:rsidR="005B6D2A" w:rsidRDefault="005B6D2A" w:rsidP="005B6D2A">
      <w:r>
        <w:t>4.1. Sono intervenuti in giudizio ad opponendum la Confagricoltura (che tutela gli interessi degli agricoltori, ivi compreso quello di non subire i danni provocati dalla fauna selvatica), l’Ente Tutela Fauna del Friuli Venezia Giulia (che rappresenta la quasi totalità delle Aziende Venatorie della Regione) e la Federazione Italiana della Caccia (che è associazione venatoria nazionale riconosciuta ai sensi dell’articolo 34 L. n. 157/1992).</w:t>
      </w:r>
    </w:p>
    <w:p w:rsidR="005B6D2A" w:rsidRDefault="005B6D2A" w:rsidP="005B6D2A">
      <w:r>
        <w:t>4.2.1. I primi due dei summenzionati intervenienti si sono costituiti con memoria congiunta, con la quale, dopo aver rappresentato le ragioni giuridiche che ne legittimano la partecipazione al giudizio, fanno presente che con la sospensione del provvedimento impugnato si determinerebbe un effetto esattamente contrario a quello avuto di mira dalla ricorrente, perché la caccia, lungi dal divenire vietata, potrebbe essere esercitata senza alcun limite, posto che la stagione venatoria è oramai iniziata e non può essere interrotta.</w:t>
      </w:r>
    </w:p>
    <w:p w:rsidR="005B6D2A" w:rsidRDefault="005B6D2A" w:rsidP="005B6D2A">
      <w:r>
        <w:t>4.2.2. Si associano poi all’eccezione di inammissibilità per omessa impugnazione dell’atto presupposto, formulata dalla difesa regionale.</w:t>
      </w:r>
    </w:p>
    <w:p w:rsidR="005B6D2A" w:rsidRDefault="005B6D2A" w:rsidP="005B6D2A">
      <w:r>
        <w:t>4.2.3. Nel merito deducono l’infondatezza del ricorso proposto dalla LAC, ricordando come negli ultimi quindici anni l’attività venatoria si sia svolta grazie agli atti di indirizzo regionali, ex articolo 3, comma1, lettere a) e f), L.R. F.V.G. n. 6/2008, i quali non devono, a differenza del PFR, essere sottoposti a VIA. Ribadiscono, infine, la funzione riequilibratrice delle dinamiche ambientali svolta dall’attività venatoria.</w:t>
      </w:r>
    </w:p>
    <w:p w:rsidR="005B6D2A" w:rsidRDefault="005B6D2A" w:rsidP="005B6D2A">
      <w:r>
        <w:lastRenderedPageBreak/>
        <w:t>4.3.1. E’ intervenuta con distinto atto la Federazione Italiana della Caccia, anch’essa contestando l’ammissibilità del ricorso della LAC, che ha impugnato l’atto di proroga, ma non l’atto prorogato (i.e. gli indirizzi generali per la caccia), oltre che al tardività del medesimo.</w:t>
      </w:r>
    </w:p>
    <w:p w:rsidR="005B6D2A" w:rsidRDefault="005B6D2A" w:rsidP="005B6D2A">
      <w:r>
        <w:t>4.3.2. Nel merito, la Federazione interveniente argomenta in ordine alla infondatezza dei motivi di gravame dedotti dalla ricorrente, sottolineando come l’eventuale sospensione cautelare della deliberazione impugnata non produrrebbe – a suo dire – alcun effetto sulla già avviata stagione di caccia, che è attività prevista dagli articoli 12, comma 1, 16 e 18 L.R. F.V.G. n. 6/2008.</w:t>
      </w:r>
    </w:p>
    <w:p w:rsidR="005B6D2A" w:rsidRDefault="005B6D2A" w:rsidP="005B6D2A">
      <w:r>
        <w:t>5.1. Alla camera di consiglio dell’ 8 luglio 2015, fissata per la decisione della domanda cautelare, il difensore della Regione ha rappresentato essere stato medio tempore definitivamente approvato il PFR, depositando copia della relativa deliberazione giuntale.</w:t>
      </w:r>
    </w:p>
    <w:p w:rsidR="005B6D2A" w:rsidRDefault="005B6D2A" w:rsidP="005B6D2A">
      <w:r>
        <w:t>Nondimeno ha negato che la sopravvenienza abbia incidenza sul presente contenzioso, sostenendo che l’annata venatoria sarebbe proseguita sulla base dei contestati indirizzi generali, e degli atti attuativi mai impugnati dalla ricorrente.</w:t>
      </w:r>
    </w:p>
    <w:p w:rsidR="005B6D2A" w:rsidRDefault="005B6D2A" w:rsidP="005B6D2A">
      <w:r>
        <w:t>5.2. Ha replicato il difensore della LAC, insistendo sull’effetto travolgente dell’annullamento dell’atto di proroga impugnato su tutti gli atti a valle; in subordine rappresenta residuare un proprio interesse all’accoglimento del ricorso al fine di rendere operativa la previsione del combinato disposto degli articoli 832 e 842 Cod. civ..</w:t>
      </w:r>
    </w:p>
    <w:p w:rsidR="005B6D2A" w:rsidRDefault="005B6D2A" w:rsidP="005B6D2A">
      <w:r>
        <w:t>5.3. L’affare è stato introitato con puntuale avviso orale ai legali presenti che il Collegio si riservava una decisione in forma semplificata.</w:t>
      </w:r>
    </w:p>
    <w:p w:rsidR="005B6D2A" w:rsidRDefault="005B6D2A" w:rsidP="005B6D2A">
      <w:r>
        <w:t>6. In effetti, sussistendo tutti i presupposti di cui all’articolo 60 Cod. proc. amm., il Tribunale ritiene di procedere in conformità a esso.</w:t>
      </w:r>
    </w:p>
    <w:p w:rsidR="005B6D2A" w:rsidRDefault="005B6D2A" w:rsidP="005B6D2A">
      <w:r>
        <w:t>7. Anticipando le conclusioni, va detto che risulta fondata l’eccezione di inammissibilità del ricorso per mancata impugnazione degli atti applicativi di quello impugnato, e sulla scorta dei quali si è dato avvio all’attuale stagione venatoria.</w:t>
      </w:r>
    </w:p>
    <w:p w:rsidR="005B6D2A" w:rsidRDefault="005B6D2A" w:rsidP="005B6D2A">
      <w:r>
        <w:t>8.1. La L.R. F.V.G. n. 6/2008 disciplina la programmazione e gestione del patrimonio faunistico, e l’esercizio dell’attività venatoria, individuando quale atto primario di regolamentazione il PFR da adottarsi ad opera della Giunta regionale entro 90 giorni dall’entrata in vigore della legge medesima, e da aggiornarsi con frequenza almeno quinquennale.</w:t>
      </w:r>
    </w:p>
    <w:p w:rsidR="005B6D2A" w:rsidRDefault="005B6D2A" w:rsidP="005B6D2A">
      <w:r>
        <w:t>Il PFR, fra le altre cose, “determina la capacità faunistica delle specie cacciabili per ciascuna unità territoriale e il massimo prelievo sostenibile delle stesse” e “indica strategie, obiettivi faunistici e criteri per la predisposizione e l’adozione dei Piani venatori distrettuali” (cfr., articolo 8, comma 3, lettere c) ed e), L.R. n. 6/2008).</w:t>
      </w:r>
    </w:p>
    <w:p w:rsidR="005B6D2A" w:rsidRDefault="005B6D2A" w:rsidP="005B6D2A">
      <w:r>
        <w:t>8.2. Gli obiettivi del PFR sono realizzati – anche – attraverso l’esercizio programmato dell’attività venatoria (cfr., articolo 12 L.R. n. 6/2008).</w:t>
      </w:r>
    </w:p>
    <w:p w:rsidR="005B6D2A" w:rsidRDefault="005B6D2A" w:rsidP="005B6D2A">
      <w:r>
        <w:t>L’attività venatoria è svolta sulla base del Piano Venatorio Distrettuale – PVD, approvato sulla base del PFR o, in mancanza di esso, degli indirizzi generali adottati dalla Giunta regionale, il quale stabilisce il prelievo faunistico che può essere concesso a ciascuna Riserva di caccia o Azienda faunistico-venatoria del Distretto (cfr., articolo 13 L.R. n. 6/2008).</w:t>
      </w:r>
    </w:p>
    <w:p w:rsidR="005B6D2A" w:rsidRDefault="005B6D2A" w:rsidP="005B6D2A">
      <w:r>
        <w:lastRenderedPageBreak/>
        <w:t>A sua volta ogni Riserva di caccia si dota di un regolamento di fruizione venatoria, che disciplina il prelievo e l’esercizio venatorio nel relativo territorio (articolo 16 L.R. n. 6/2008).</w:t>
      </w:r>
    </w:p>
    <w:p w:rsidR="005B6D2A" w:rsidRDefault="005B6D2A" w:rsidP="005B6D2A">
      <w:r>
        <w:t>9. Parte ricorrente sostiene – e la circostanza non è contestata dalla ricorrente - che i PVD per l’annata 2015-2016 sono già stati approvati e sono già produttivi di effetti per le specie animali per le quali la caccia si è già aperta. Rappresenta, inoltre, che i vigenti PVD non saranno modificati per effetto della sopravvenuta approvazione del PFR.</w:t>
      </w:r>
    </w:p>
    <w:p w:rsidR="005B6D2A" w:rsidRDefault="005B6D2A" w:rsidP="005B6D2A">
      <w:r>
        <w:t>10.1. Orbene, i PVD avrebbero dovuto essere oggetto di impugnazione e non lo sono stati.</w:t>
      </w:r>
    </w:p>
    <w:p w:rsidR="005B6D2A" w:rsidRDefault="005B6D2A" w:rsidP="005B6D2A">
      <w:r>
        <w:t>Invero, l’invalidità che affligge l’atto di proroga degli indirizzi generali per l’attività venatoria che qui si impugna ha effetto viziante e non caducante sugli stessi, sicché in assenza di rituale e tempestiva impugnazione essi continuano a produrre i propri effetti, e segnatamente a consentire l’attività venatoria nel proprio ambito territoriale.</w:t>
      </w:r>
    </w:p>
    <w:p w:rsidR="005B6D2A" w:rsidRDefault="005B6D2A" w:rsidP="005B6D2A">
      <w:r>
        <w:t>10.2. Come da tempo chiarito dalla giurisprudenza, di regola l’invalidità dell’atto presupposto ha efficacia viziante sull’atto successivo, che conseguentemente deve anch’esso essere impugnato, affinché chi agisca possa ottenere un risultato utile dall’eventuale pronuncia di accoglimento. L’effetto caducante (con conseguente non necessità di specifica impugnazione dell’atto successivo) è limitato alle ipotesi in cui il rapporto di consequenzialità è immediato, diretto e necessario, nel senso che l'atto successivo si ponga, nell'ambito dello stesso contesto procedimentale, come conseguenza ineluttabile rispetto all'atto precedente (cfr., C.d.S., Sez. V^, sentenza n. 2611/2015; C.d.S., Sez. VI^, sentenza n. 1782/2015).</w:t>
      </w:r>
    </w:p>
    <w:p w:rsidR="005B6D2A" w:rsidRDefault="005B6D2A" w:rsidP="005B6D2A">
      <w:r>
        <w:t>10.3.1. Ora, nel caso di specie deve escludersi che PFR (o gli atti di indirizzo generale in assenza del PFR) e PVD si collochino nella medesima sequenza procedimentale e che non vi sia più in sede distrettuale alcuna valutazione degli interessi pubblici e privati coinvolti. Conseguentemente, deve concludersi che l’annullamento del primo non possa avere effetto automaticamente travolgente del secondo (cfr., C.d.S., Sez. IV^, sentenza n. 5813/2013).</w:t>
      </w:r>
    </w:p>
    <w:p w:rsidR="005B6D2A" w:rsidRDefault="005B6D2A" w:rsidP="005B6D2A">
      <w:r>
        <w:t>10.3.2. I PVD sono atti di esercizio di discrezionalità, perché calano le previsioni, necessariamente generali, del PFR nelle singole e diversificate realtà locali. Ulteriormente, sono atti che, benché collegati agli atti di programmazione regionali, mantengono la propria autonomia, come si evince dalla previsione della durata quinquennale contenuta nell’articolo 13 L.R. F.V.G. n. 6/2008. Un tanto implica, infatti, che non hanno durata necessariamente coincidente con il PFR, e sicuramente non coincidente con gli indirizzi generali che, in attesa del PFR, vengono elaborati annualmente dalla Giunta regionale.</w:t>
      </w:r>
    </w:p>
    <w:p w:rsidR="005B6D2A" w:rsidRDefault="005B6D2A" w:rsidP="005B6D2A">
      <w:r>
        <w:t>10.4. Ne consegue che nessuna utilità potrà ottenere la LAC dall’accoglimento del proprio ricorso, posto che l’attuale stagione venatoria non verrebbe incisa dall’eventuale annullamento dell’atto di proroga degli indirizzi generali.</w:t>
      </w:r>
    </w:p>
    <w:p w:rsidR="005B6D2A" w:rsidRDefault="005B6D2A" w:rsidP="005B6D2A">
      <w:r>
        <w:t>Pertanto, il ricorso viene dichiarato inammissibile per carenza di interesse (cfr., T.A.R. Abruzzo – L’Aquila, sentenza n. 260/2015).</w:t>
      </w:r>
    </w:p>
    <w:p w:rsidR="005B6D2A" w:rsidRDefault="005B6D2A" w:rsidP="005B6D2A">
      <w:r>
        <w:t>11.1. In effetti la suesposta carenza di interesse non può nemmeno essere superata dal richiamo operato dal difensore della ricorrente, al diritto, ex articoli 832 e 842 Cod. civ., del proprietario del fondo di opporsi al passaggio dei cacciatori laddove la caccia non risulti autorizzata.</w:t>
      </w:r>
    </w:p>
    <w:p w:rsidR="005B6D2A" w:rsidRDefault="005B6D2A" w:rsidP="005B6D2A">
      <w:r>
        <w:lastRenderedPageBreak/>
        <w:t>11.2. Come risulta dallo statuto, prodotto in giudizio in copia, la LAC «ha lo scopo di promuovere l’abolizione della caccia, la difesa della fauna, il riconoscimento dei diritti soggettivi di tutti gli animali e la conservazione e il ripristino dell’ambiente».</w:t>
      </w:r>
    </w:p>
    <w:p w:rsidR="005B6D2A" w:rsidRDefault="005B6D2A" w:rsidP="005B6D2A">
      <w:r>
        <w:t>Ne consegue che gli interessi dei proprietari dei fondi suscettibili di essere attraversati dai cacciatori eccedono gli scopi perseguiti e tutelati, anche in sede giudiziale, dalla LAC.</w:t>
      </w:r>
    </w:p>
    <w:p w:rsidR="005B6D2A" w:rsidRDefault="005B6D2A" w:rsidP="005B6D2A">
      <w:r>
        <w:t>E, poiché, ai sensi del combinato disposto degli articoli 39, comma 1, Cod. proc. amm., e 81 Cod. proc. civ., di regola non si può far valere in giudizio una posizione giuridica altrui, deve concludersi che al riguardo la ricorrente è sfornita di legittimazione attiva.</w:t>
      </w:r>
    </w:p>
    <w:p w:rsidR="005B6D2A" w:rsidRDefault="005B6D2A" w:rsidP="005B6D2A">
      <w:r>
        <w:t>12.1. In punto di ripartizione delle spese del giudizio il Collegio ritiene di compensarle integralmente per le ragioni che si espongono.</w:t>
      </w:r>
    </w:p>
    <w:p w:rsidR="005B6D2A" w:rsidRDefault="005B6D2A" w:rsidP="005B6D2A">
      <w:r>
        <w:t>12.2. La Regione ha impiegato sette anni per approvare il PFR, che nel disegno legislativo è lo strumento di programmazione dell’attività venatoria, da aggiornarsi ogni cinque anni. In questo lasso di tempo ha supplito con gli indirizzi generali di cui all’articolo 13, comma 1, L.R. F.V.G., facendo divenire ordinario uno strumento pensato in via di eccezione.</w:t>
      </w:r>
    </w:p>
    <w:p w:rsidR="005B6D2A" w:rsidRDefault="005B6D2A" w:rsidP="005B6D2A">
      <w:r>
        <w:t>Il tutto al di fuori di qualsiasi valutazione di incidenza, essendo sottoposto all’incombente il PFR ma non l’atto contenente gli indirizzi generali.</w:t>
      </w:r>
    </w:p>
    <w:p w:rsidR="005B6D2A" w:rsidRDefault="005B6D2A" w:rsidP="005B6D2A">
      <w:r>
        <w:t>12.3. Né può addursi a giustificazione la situazione di urgenza in cui si versava, posto che la stessa Regione ha quantomeno contribuito al crearsi di questa situazione. Invero, sette anni sono un lasso di tempo troppo lungo per l’approvazione di un atto amministrativo, anche se si tratta di un iter complesso per un atto complesso, e anche se medio tempore vi è stato un giudizio costituzionale.</w:t>
      </w:r>
    </w:p>
    <w:p w:rsidR="005B6D2A" w:rsidRDefault="005B6D2A" w:rsidP="005B6D2A">
      <w:r>
        <w:t>P.Q.M.</w:t>
      </w:r>
    </w:p>
    <w:p w:rsidR="005B6D2A" w:rsidRDefault="005B6D2A" w:rsidP="005B6D2A">
      <w:r>
        <w:t>Il Tribunale Amministrativo Regionale per il Friuli Venezia Giulia (Sezione Prima) definitivamente pronunciando sul ricorso, come in epigrafe proposto, lo dichiara inammissibile.</w:t>
      </w:r>
    </w:p>
    <w:p w:rsidR="005B6D2A" w:rsidRDefault="005B6D2A" w:rsidP="005B6D2A">
      <w:r>
        <w:t>Compensa integralmente le spese di giudizio tra le parti.</w:t>
      </w:r>
    </w:p>
    <w:p w:rsidR="005B6D2A" w:rsidRDefault="005B6D2A" w:rsidP="005B6D2A">
      <w:r>
        <w:t>Ordina che la presente sentenza sia eseguita dall'Autorità amministrativa.</w:t>
      </w:r>
    </w:p>
    <w:p w:rsidR="005B6D2A" w:rsidRDefault="005B6D2A" w:rsidP="005B6D2A">
      <w:r>
        <w:t>Così deciso in Trieste nella camera di consiglio del giorno 8 luglio 2015 con l'intervento dei magistrati:</w:t>
      </w:r>
    </w:p>
    <w:p w:rsidR="005B6D2A" w:rsidRDefault="005B6D2A" w:rsidP="005B6D2A">
      <w:r>
        <w:t>Umberto Zuballi,</w:t>
      </w:r>
      <w:r>
        <w:tab/>
        <w:t>Presidente</w:t>
      </w:r>
    </w:p>
    <w:p w:rsidR="005B6D2A" w:rsidRDefault="005B6D2A" w:rsidP="005B6D2A">
      <w:r>
        <w:t>Manuela Sinigoi,</w:t>
      </w:r>
      <w:r>
        <w:tab/>
        <w:t>Primo Referendario</w:t>
      </w:r>
    </w:p>
    <w:p w:rsidR="005B6D2A" w:rsidRDefault="005B6D2A" w:rsidP="005B6D2A">
      <w:r>
        <w:t>Alessandra Tagliasacchi,</w:t>
      </w:r>
      <w:r>
        <w:tab/>
        <w:t>Referendario, Estensore</w:t>
      </w:r>
    </w:p>
    <w:p w:rsidR="005B6D2A" w:rsidRDefault="005B6D2A" w:rsidP="005B6D2A">
      <w:r>
        <w:t xml:space="preserve"> </w:t>
      </w:r>
      <w:r>
        <w:tab/>
      </w:r>
      <w:r>
        <w:tab/>
      </w:r>
    </w:p>
    <w:p w:rsidR="005B6D2A" w:rsidRDefault="005B6D2A" w:rsidP="005B6D2A">
      <w:r>
        <w:t xml:space="preserve"> </w:t>
      </w:r>
      <w:r>
        <w:tab/>
      </w:r>
      <w:r>
        <w:tab/>
      </w:r>
    </w:p>
    <w:p w:rsidR="005B6D2A" w:rsidRDefault="005B6D2A" w:rsidP="005B6D2A">
      <w:r>
        <w:t>L'ESTENSORE</w:t>
      </w:r>
      <w:r>
        <w:tab/>
      </w:r>
      <w:r>
        <w:tab/>
        <w:t>IL PRESIDENTE</w:t>
      </w:r>
    </w:p>
    <w:p w:rsidR="005B6D2A" w:rsidRDefault="005B6D2A" w:rsidP="005B6D2A">
      <w:r>
        <w:t xml:space="preserve"> </w:t>
      </w:r>
      <w:r>
        <w:tab/>
      </w:r>
      <w:r>
        <w:tab/>
      </w:r>
    </w:p>
    <w:p w:rsidR="005B6D2A" w:rsidRDefault="005B6D2A" w:rsidP="005B6D2A">
      <w:r>
        <w:t xml:space="preserve"> </w:t>
      </w:r>
      <w:r>
        <w:tab/>
      </w:r>
      <w:r>
        <w:tab/>
      </w:r>
    </w:p>
    <w:p w:rsidR="005B6D2A" w:rsidRDefault="005B6D2A" w:rsidP="005B6D2A">
      <w:r>
        <w:lastRenderedPageBreak/>
        <w:t xml:space="preserve"> </w:t>
      </w:r>
      <w:r>
        <w:tab/>
      </w:r>
      <w:r>
        <w:tab/>
      </w:r>
    </w:p>
    <w:p w:rsidR="005B6D2A" w:rsidRDefault="005B6D2A" w:rsidP="005B6D2A">
      <w:r>
        <w:t xml:space="preserve"> </w:t>
      </w:r>
      <w:r>
        <w:tab/>
      </w:r>
      <w:r>
        <w:tab/>
      </w:r>
    </w:p>
    <w:p w:rsidR="005B6D2A" w:rsidRDefault="005B6D2A" w:rsidP="005B6D2A">
      <w:r>
        <w:t xml:space="preserve"> </w:t>
      </w:r>
      <w:r>
        <w:tab/>
      </w:r>
      <w:r>
        <w:tab/>
      </w:r>
    </w:p>
    <w:p w:rsidR="005B6D2A" w:rsidRDefault="005B6D2A" w:rsidP="005B6D2A">
      <w:r>
        <w:t>DEPOSITATA IN SEGRETERIA</w:t>
      </w:r>
    </w:p>
    <w:p w:rsidR="005B6D2A" w:rsidRDefault="005B6D2A" w:rsidP="005B6D2A">
      <w:r>
        <w:t>Il 03/08/2015</w:t>
      </w:r>
    </w:p>
    <w:p w:rsidR="005B6D2A" w:rsidRDefault="005B6D2A" w:rsidP="005B6D2A">
      <w:r>
        <w:t>IL SEGRETARIO</w:t>
      </w:r>
    </w:p>
    <w:p w:rsidR="003E622E" w:rsidRDefault="005B6D2A" w:rsidP="005B6D2A">
      <w:r>
        <w:t>(Art. 89, co. 3, cod. proc. amm.)</w:t>
      </w:r>
      <w:bookmarkStart w:id="0" w:name="_GoBack"/>
      <w:bookmarkEnd w:id="0"/>
    </w:p>
    <w:sectPr w:rsidR="003E62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B74"/>
    <w:rsid w:val="00084B74"/>
    <w:rsid w:val="003E622E"/>
    <w:rsid w:val="005B6D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2501</Words>
  <Characters>14262</Characters>
  <Application>Microsoft Office Word</Application>
  <DocSecurity>0</DocSecurity>
  <Lines>118</Lines>
  <Paragraphs>33</Paragraphs>
  <ScaleCrop>false</ScaleCrop>
  <Company/>
  <LinksUpToDate>false</LinksUpToDate>
  <CharactersWithSpaces>16730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Viezzi</dc:creator>
  <cp:keywords/>
  <dc:description/>
  <cp:lastModifiedBy>Paolo Viezzi</cp:lastModifiedBy>
  <cp:revision>2</cp:revision>
  <dcterms:created xsi:type="dcterms:W3CDTF">2015-08-03T15:06:00Z</dcterms:created>
  <dcterms:modified xsi:type="dcterms:W3CDTF">2015-08-03T15:06:00Z</dcterms:modified>
</cp:coreProperties>
</file>